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D0A8" w14:textId="53532A5E" w:rsidR="0054496C" w:rsidRPr="008C1015" w:rsidRDefault="0054496C" w:rsidP="0054496C">
      <w:pPr>
        <w:rPr>
          <w:sz w:val="18"/>
          <w:szCs w:val="18"/>
        </w:rPr>
      </w:pPr>
      <w:r w:rsidRPr="008C1015">
        <w:rPr>
          <w:sz w:val="18"/>
          <w:szCs w:val="18"/>
        </w:rPr>
        <w:t>(As per Revised Procedure for execution of work under P.F.W. Programme contained in C, D &amp; C/W Dept. No. 2263(13) CD dated 26-11-79)</w:t>
      </w:r>
    </w:p>
    <w:p w14:paraId="79356B1C" w14:textId="77777777" w:rsidR="0054496C" w:rsidRPr="008C1015" w:rsidRDefault="0054496C" w:rsidP="0054496C">
      <w:pPr>
        <w:rPr>
          <w:sz w:val="18"/>
          <w:szCs w:val="18"/>
        </w:rPr>
      </w:pPr>
      <w:r w:rsidRPr="008C1015">
        <w:rPr>
          <w:sz w:val="18"/>
          <w:szCs w:val="18"/>
        </w:rPr>
        <w:t>I do hereby undertake to execute the work on behalf of the G.P. the under mentioned description of work in accordance with the condition noted below in consideration of payment being made for the work executed at the rate specified in the following schedule.</w:t>
      </w:r>
    </w:p>
    <w:tbl>
      <w:tblPr>
        <w:tblStyle w:val="TableGrid"/>
        <w:tblW w:w="0" w:type="auto"/>
        <w:tblLook w:val="04A0" w:firstRow="1" w:lastRow="0" w:firstColumn="1" w:lastColumn="0" w:noHBand="0" w:noVBand="1"/>
      </w:tblPr>
      <w:tblGrid>
        <w:gridCol w:w="1803"/>
        <w:gridCol w:w="1803"/>
        <w:gridCol w:w="1803"/>
        <w:gridCol w:w="1803"/>
        <w:gridCol w:w="1804"/>
      </w:tblGrid>
      <w:tr w:rsidR="00067733" w14:paraId="68B1DC1A" w14:textId="77777777" w:rsidTr="00067733">
        <w:tc>
          <w:tcPr>
            <w:tcW w:w="1803" w:type="dxa"/>
          </w:tcPr>
          <w:p w14:paraId="3AC499B3" w14:textId="563DD5EC" w:rsidR="00067733" w:rsidRDefault="00067733" w:rsidP="0054496C">
            <w:pPr>
              <w:rPr>
                <w:b/>
                <w:bCs/>
              </w:rPr>
            </w:pPr>
            <w:r>
              <w:rPr>
                <w:b/>
                <w:bCs/>
              </w:rPr>
              <w:t>Name of the works</w:t>
            </w:r>
          </w:p>
        </w:tc>
        <w:tc>
          <w:tcPr>
            <w:tcW w:w="1803" w:type="dxa"/>
          </w:tcPr>
          <w:p w14:paraId="234934E8" w14:textId="198D49ED" w:rsidR="00067733" w:rsidRDefault="00067733" w:rsidP="0054496C">
            <w:pPr>
              <w:rPr>
                <w:b/>
                <w:bCs/>
              </w:rPr>
            </w:pPr>
            <w:r>
              <w:rPr>
                <w:b/>
                <w:bCs/>
              </w:rPr>
              <w:t>Name the item</w:t>
            </w:r>
          </w:p>
        </w:tc>
        <w:tc>
          <w:tcPr>
            <w:tcW w:w="1803" w:type="dxa"/>
          </w:tcPr>
          <w:p w14:paraId="4A7F69B1" w14:textId="027328F8" w:rsidR="00067733" w:rsidRDefault="004E3A67" w:rsidP="0054496C">
            <w:pPr>
              <w:rPr>
                <w:b/>
                <w:bCs/>
              </w:rPr>
            </w:pPr>
            <w:r>
              <w:rPr>
                <w:b/>
                <w:bCs/>
              </w:rPr>
              <w:t>Class &amp; Description of Work to be executed</w:t>
            </w:r>
          </w:p>
        </w:tc>
        <w:tc>
          <w:tcPr>
            <w:tcW w:w="1803" w:type="dxa"/>
          </w:tcPr>
          <w:p w14:paraId="15069B19" w14:textId="1B7178B3" w:rsidR="00067733" w:rsidRDefault="004E3A67" w:rsidP="0054496C">
            <w:pPr>
              <w:rPr>
                <w:b/>
                <w:bCs/>
              </w:rPr>
            </w:pPr>
            <w:r>
              <w:rPr>
                <w:b/>
                <w:bCs/>
              </w:rPr>
              <w:t>Unit of Calculation</w:t>
            </w:r>
          </w:p>
        </w:tc>
        <w:tc>
          <w:tcPr>
            <w:tcW w:w="1804" w:type="dxa"/>
          </w:tcPr>
          <w:p w14:paraId="3978C1DC" w14:textId="5C87E741" w:rsidR="00067733" w:rsidRDefault="004E3A67" w:rsidP="0054496C">
            <w:pPr>
              <w:rPr>
                <w:b/>
                <w:bCs/>
              </w:rPr>
            </w:pPr>
            <w:r>
              <w:rPr>
                <w:b/>
                <w:bCs/>
              </w:rPr>
              <w:t>Date of Payment</w:t>
            </w:r>
          </w:p>
        </w:tc>
      </w:tr>
      <w:tr w:rsidR="00067733" w14:paraId="2F51E2D4" w14:textId="77777777" w:rsidTr="00067733">
        <w:tc>
          <w:tcPr>
            <w:tcW w:w="1803" w:type="dxa"/>
          </w:tcPr>
          <w:p w14:paraId="0A55C0B8" w14:textId="67BF5BBC" w:rsidR="00067733" w:rsidRDefault="004E3A67" w:rsidP="0054496C">
            <w:pPr>
              <w:rPr>
                <w:b/>
                <w:bCs/>
              </w:rPr>
            </w:pPr>
            <w:r>
              <w:rPr>
                <w:b/>
                <w:bCs/>
              </w:rPr>
              <w:t>1</w:t>
            </w:r>
          </w:p>
        </w:tc>
        <w:tc>
          <w:tcPr>
            <w:tcW w:w="1803" w:type="dxa"/>
          </w:tcPr>
          <w:p w14:paraId="16CEFC35" w14:textId="332F1B48" w:rsidR="00067733" w:rsidRDefault="004E3A67" w:rsidP="0054496C">
            <w:pPr>
              <w:rPr>
                <w:b/>
                <w:bCs/>
              </w:rPr>
            </w:pPr>
            <w:r>
              <w:rPr>
                <w:b/>
                <w:bCs/>
              </w:rPr>
              <w:t>2</w:t>
            </w:r>
          </w:p>
        </w:tc>
        <w:tc>
          <w:tcPr>
            <w:tcW w:w="1803" w:type="dxa"/>
          </w:tcPr>
          <w:p w14:paraId="1DAE3AEC" w14:textId="313666C8" w:rsidR="00067733" w:rsidRDefault="004E3A67" w:rsidP="0054496C">
            <w:pPr>
              <w:rPr>
                <w:b/>
                <w:bCs/>
              </w:rPr>
            </w:pPr>
            <w:r>
              <w:rPr>
                <w:b/>
                <w:bCs/>
              </w:rPr>
              <w:t>3</w:t>
            </w:r>
          </w:p>
        </w:tc>
        <w:tc>
          <w:tcPr>
            <w:tcW w:w="1803" w:type="dxa"/>
          </w:tcPr>
          <w:p w14:paraId="40173604" w14:textId="0F11E764" w:rsidR="00067733" w:rsidRDefault="004E3A67" w:rsidP="0054496C">
            <w:pPr>
              <w:rPr>
                <w:b/>
                <w:bCs/>
              </w:rPr>
            </w:pPr>
            <w:r>
              <w:rPr>
                <w:b/>
                <w:bCs/>
              </w:rPr>
              <w:t>4</w:t>
            </w:r>
          </w:p>
        </w:tc>
        <w:tc>
          <w:tcPr>
            <w:tcW w:w="1804" w:type="dxa"/>
          </w:tcPr>
          <w:p w14:paraId="55801FD4" w14:textId="3CE6ADE9" w:rsidR="00067733" w:rsidRDefault="004E3A67" w:rsidP="0054496C">
            <w:pPr>
              <w:rPr>
                <w:b/>
                <w:bCs/>
              </w:rPr>
            </w:pPr>
            <w:r>
              <w:rPr>
                <w:b/>
                <w:bCs/>
              </w:rPr>
              <w:t>5</w:t>
            </w:r>
          </w:p>
        </w:tc>
      </w:tr>
      <w:tr w:rsidR="004E3A67" w14:paraId="73C1690B" w14:textId="77777777" w:rsidTr="008C1015">
        <w:trPr>
          <w:trHeight w:val="1237"/>
        </w:trPr>
        <w:tc>
          <w:tcPr>
            <w:tcW w:w="9016" w:type="dxa"/>
            <w:gridSpan w:val="5"/>
          </w:tcPr>
          <w:p w14:paraId="759F1A50" w14:textId="3040AB46" w:rsidR="004E3A67" w:rsidRDefault="008C1015" w:rsidP="0054496C">
            <w:pPr>
              <w:rPr>
                <w:b/>
                <w:bCs/>
              </w:rPr>
            </w:pPr>
            <w:r>
              <w:rPr>
                <w:b/>
                <w:bCs/>
                <w:noProof/>
              </w:rPr>
              <mc:AlternateContent>
                <mc:Choice Requires="wps">
                  <w:drawing>
                    <wp:anchor distT="0" distB="0" distL="114300" distR="114300" simplePos="0" relativeHeight="251659264" behindDoc="0" locked="0" layoutInCell="1" allowOverlap="1" wp14:anchorId="1248377C" wp14:editId="1E608C9E">
                      <wp:simplePos x="0" y="0"/>
                      <wp:positionH relativeFrom="column">
                        <wp:posOffset>1741805</wp:posOffset>
                      </wp:positionH>
                      <wp:positionV relativeFrom="paragraph">
                        <wp:posOffset>626110</wp:posOffset>
                      </wp:positionV>
                      <wp:extent cx="2377440" cy="281940"/>
                      <wp:effectExtent l="0" t="0" r="22860" b="22860"/>
                      <wp:wrapNone/>
                      <wp:docPr id="719053648" name="Rectangle: Rounded Corners 2"/>
                      <wp:cNvGraphicFramePr/>
                      <a:graphic xmlns:a="http://schemas.openxmlformats.org/drawingml/2006/main">
                        <a:graphicData uri="http://schemas.microsoft.com/office/word/2010/wordprocessingShape">
                          <wps:wsp>
                            <wps:cNvSpPr/>
                            <wps:spPr>
                              <a:xfrm>
                                <a:off x="0" y="0"/>
                                <a:ext cx="2377440" cy="281940"/>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0DD3C9AE" w14:textId="77777777" w:rsidR="006771A2" w:rsidRPr="008C1015" w:rsidRDefault="006771A2" w:rsidP="006771A2">
                                  <w:pPr>
                                    <w:jc w:val="center"/>
                                  </w:pPr>
                                  <w:r w:rsidRPr="008C1015">
                                    <w:rPr>
                                      <w:b/>
                                      <w:bCs/>
                                    </w:rPr>
                                    <w:t>CONDITIONS</w:t>
                                  </w:r>
                                </w:p>
                                <w:p w14:paraId="032D1602" w14:textId="77777777" w:rsidR="006771A2" w:rsidRDefault="006771A2" w:rsidP="006771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48377C" id="Rectangle: Rounded Corners 2" o:spid="_x0000_s1026" style="position:absolute;margin-left:137.15pt;margin-top:49.3pt;width:187.2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XLYgIAABcFAAAOAAAAZHJzL2Uyb0RvYy54bWysVMFO3DAQvVfqP1i+lyRbKLAii1YgqkoI&#10;EFBx9jo2iep43LF3k+3Xd+xks0DppeolGXtm3oyf3/jsvG8N2yj0DdiSFwc5Z8pKqBr7XPLvj1ef&#10;TjjzQdhKGLCq5Fvl+fni44ezzs3VDGowlUJGINbPO1fyOgQ3zzIva9UKfwBOWXJqwFYEWuJzVqHo&#10;CL012SzPv2QdYOUQpPKedi8HJ18kfK2VDLdaexWYKTn1FtIX03cVv9niTMyfUbi6kWMb4h+6aEVj&#10;qegEdSmCYGts/oBqG4ngQYcDCW0GWjdSpTPQaYr8zWkeauFUOguR491Ek/9/sPJm8+DukGjonJ97&#10;MuMpeo1t/FN/rE9kbSeyVB+YpM3Z5+Pjw0PiVJJvdlKckk0w2T7boQ9fFbQsGiVHWNvqnm4kESU2&#10;1z4M8bs4St43kaywNSr2Yey90qypYtmUnfShLgyyjaCbrX4Uw3YtKjVsFUd5vmtoik7tJbCIqhtj&#10;JtwRIOruNe7Q4xgb01SS1ZSY/62hIXGKThXBhimxbSzge8kmFCOTeojfETPQEZkJ/aon/GiuoNre&#10;IUMYtO2dvGqI72vhw51AEjNdEQ1ouKWPNtCVHEaLsxrw13v7MZ40Rl7OOhqOkvufa4GKM/PNkvpO&#10;i3TzIS0Oj45nVANfelYvPXbdXgDdUkFPgZPJjPHB7EyN0D7RHC9jVXIJK6l2yWXA3eIiDENLL4FU&#10;y2UKowlyIlzbBycjeCQ4SumxfxLoRtEFkusN7AZJzN/IboiNmRaW6wC6SZrc8zpST9OXtDO+FHG8&#10;X65T1P49W/wGAAD//wMAUEsDBBQABgAIAAAAIQAQDKhS3wAAAAoBAAAPAAAAZHJzL2Rvd25yZXYu&#10;eG1sTI/BTsMwEETvSPyDtUjcqEMb0hDiVAiBQL3RInF17SUOxHZqu0n4e5YTHFfzNPO23sy2ZyOG&#10;2Hkn4HqRAUOnvO5cK+Bt/3RVAotJOi1771DAN0bYNOdntay0n9wrjrvUMipxsZICTEpDxXlUBq2M&#10;Cz+go+zDBysTnaHlOsiJym3Pl1lWcCs7RwtGDvhgUH3tTlbA8ebzOLTqcR/5yzh1KjxvTf8uxOXF&#10;fH8HLOGc/mD41Sd1aMjp4E9OR9YLWK7zFaECbssCGAFFXq6BHYjMVxnwpub/X2h+AAAA//8DAFBL&#10;AQItABQABgAIAAAAIQC2gziS/gAAAOEBAAATAAAAAAAAAAAAAAAAAAAAAABbQ29udGVudF9UeXBl&#10;c10ueG1sUEsBAi0AFAAGAAgAAAAhADj9If/WAAAAlAEAAAsAAAAAAAAAAAAAAAAALwEAAF9yZWxz&#10;Ly5yZWxzUEsBAi0AFAAGAAgAAAAhAJsRhctiAgAAFwUAAA4AAAAAAAAAAAAAAAAALgIAAGRycy9l&#10;Mm9Eb2MueG1sUEsBAi0AFAAGAAgAAAAhABAMqFLfAAAACgEAAA8AAAAAAAAAAAAAAAAAvAQAAGRy&#10;cy9kb3ducmV2LnhtbFBLBQYAAAAABAAEAPMAAADIBQAAAAA=&#10;" fillcolor="black [3200]" strokecolor="black [480]" strokeweight="1pt">
                      <v:stroke joinstyle="miter"/>
                      <v:textbox>
                        <w:txbxContent>
                          <w:p w14:paraId="0DD3C9AE" w14:textId="77777777" w:rsidR="006771A2" w:rsidRPr="008C1015" w:rsidRDefault="006771A2" w:rsidP="006771A2">
                            <w:pPr>
                              <w:jc w:val="center"/>
                            </w:pPr>
                            <w:r w:rsidRPr="008C1015">
                              <w:rPr>
                                <w:b/>
                                <w:bCs/>
                              </w:rPr>
                              <w:t>CONDITIONS</w:t>
                            </w:r>
                          </w:p>
                          <w:p w14:paraId="032D1602" w14:textId="77777777" w:rsidR="006771A2" w:rsidRDefault="006771A2" w:rsidP="006771A2">
                            <w:pPr>
                              <w:jc w:val="center"/>
                            </w:pPr>
                          </w:p>
                        </w:txbxContent>
                      </v:textbox>
                    </v:roundrect>
                  </w:pict>
                </mc:Fallback>
              </mc:AlternateContent>
            </w:r>
          </w:p>
        </w:tc>
      </w:tr>
    </w:tbl>
    <w:p w14:paraId="03592012" w14:textId="432652BB" w:rsidR="00067733" w:rsidRDefault="00067733" w:rsidP="0054496C">
      <w:pPr>
        <w:rPr>
          <w:b/>
          <w:bCs/>
        </w:rPr>
      </w:pPr>
    </w:p>
    <w:p w14:paraId="404B3E15" w14:textId="77777777" w:rsidR="0054496C" w:rsidRPr="008C1015" w:rsidRDefault="0054496C" w:rsidP="0054496C">
      <w:pPr>
        <w:numPr>
          <w:ilvl w:val="0"/>
          <w:numId w:val="1"/>
        </w:numPr>
        <w:rPr>
          <w:sz w:val="18"/>
          <w:szCs w:val="18"/>
        </w:rPr>
      </w:pPr>
      <w:r w:rsidRPr="008C1015">
        <w:rPr>
          <w:sz w:val="18"/>
          <w:szCs w:val="18"/>
        </w:rPr>
        <w:t>The work is to be carried on with due diligence in accordance with the specification in force &amp; work in a workmanlike manner. The materials used will be subject to approval of the Block Development Officer of Samiti for the time being whose decision as to the rate of progress &amp; quality of work or material shall be final.</w:t>
      </w:r>
    </w:p>
    <w:p w14:paraId="2199743D" w14:textId="77777777" w:rsidR="0054496C" w:rsidRPr="008C1015" w:rsidRDefault="0054496C" w:rsidP="0054496C">
      <w:pPr>
        <w:numPr>
          <w:ilvl w:val="0"/>
          <w:numId w:val="1"/>
        </w:numPr>
        <w:rPr>
          <w:sz w:val="18"/>
          <w:szCs w:val="18"/>
        </w:rPr>
      </w:pPr>
      <w:r w:rsidRPr="008C1015">
        <w:rPr>
          <w:sz w:val="18"/>
          <w:szCs w:val="18"/>
        </w:rPr>
        <w:t>The Quantity of work executed shall be measured &amp; payment made at least once a week &amp; on the completion of the work or the termination of this agreement will be made &amp; the account adjusted accordingly.</w:t>
      </w:r>
    </w:p>
    <w:p w14:paraId="170CFC03" w14:textId="77777777" w:rsidR="0054496C" w:rsidRPr="008C1015" w:rsidRDefault="0054496C" w:rsidP="0054496C">
      <w:pPr>
        <w:numPr>
          <w:ilvl w:val="0"/>
          <w:numId w:val="1"/>
        </w:numPr>
        <w:rPr>
          <w:sz w:val="18"/>
          <w:szCs w:val="18"/>
        </w:rPr>
      </w:pPr>
      <w:r w:rsidRPr="008C1015">
        <w:rPr>
          <w:sz w:val="18"/>
          <w:szCs w:val="18"/>
        </w:rPr>
        <w:t xml:space="preserve">The Block Development Officer of Samiti may if he deems it necessary deduct from this a sum not exceeding ten percent of the value of the work done as security for the rectification of such defects in the works as may be noticed within three months after completion of the work. Such defects shall be rectified by the executant within such period as the Block Development Officer may appoint &amp; if the executant fails to do so, a deduction from the bill has been </w:t>
      </w:r>
      <w:proofErr w:type="gramStart"/>
      <w:r w:rsidRPr="008C1015">
        <w:rPr>
          <w:sz w:val="18"/>
          <w:szCs w:val="18"/>
        </w:rPr>
        <w:t>effected</w:t>
      </w:r>
      <w:proofErr w:type="gramEnd"/>
      <w:r w:rsidRPr="008C1015">
        <w:rPr>
          <w:sz w:val="18"/>
          <w:szCs w:val="18"/>
        </w:rPr>
        <w:t xml:space="preserve"> at the G.P. level at the expense of the defects, G.P. shall be paid from the sum as aforesaid the cost of rectification of the defects by G.P.</w:t>
      </w:r>
    </w:p>
    <w:p w14:paraId="682CCD3D" w14:textId="77777777" w:rsidR="0054496C" w:rsidRPr="008C1015" w:rsidRDefault="0054496C" w:rsidP="0054496C">
      <w:pPr>
        <w:numPr>
          <w:ilvl w:val="0"/>
          <w:numId w:val="1"/>
        </w:numPr>
        <w:rPr>
          <w:sz w:val="18"/>
          <w:szCs w:val="18"/>
        </w:rPr>
      </w:pPr>
      <w:r w:rsidRPr="008C1015">
        <w:rPr>
          <w:sz w:val="18"/>
          <w:szCs w:val="18"/>
        </w:rPr>
        <w:t>The executant shall not employ any person who is below the age of twelve years &amp; shall pay to each labourer wages not less than the wages payable for similar work in the neighbourhood.</w:t>
      </w:r>
    </w:p>
    <w:p w14:paraId="19CA884F" w14:textId="77777777" w:rsidR="0054496C" w:rsidRPr="008C1015" w:rsidRDefault="0054496C" w:rsidP="0054496C">
      <w:pPr>
        <w:numPr>
          <w:ilvl w:val="0"/>
          <w:numId w:val="1"/>
        </w:numPr>
        <w:rPr>
          <w:sz w:val="18"/>
          <w:szCs w:val="18"/>
        </w:rPr>
      </w:pPr>
      <w:r w:rsidRPr="008C1015">
        <w:rPr>
          <w:sz w:val="18"/>
          <w:szCs w:val="18"/>
        </w:rPr>
        <w:t>The Block Development Officer shall have the right to enquire into and decide complaints alleging in that the wages paid by the executant to any labourer or the similar work in the neighbourhood.</w:t>
      </w:r>
    </w:p>
    <w:p w14:paraId="09DC0ECD" w14:textId="77777777" w:rsidR="0054496C" w:rsidRPr="008C1015" w:rsidRDefault="0054496C" w:rsidP="0054496C">
      <w:pPr>
        <w:numPr>
          <w:ilvl w:val="0"/>
          <w:numId w:val="1"/>
        </w:numPr>
        <w:rPr>
          <w:sz w:val="18"/>
          <w:szCs w:val="18"/>
        </w:rPr>
      </w:pPr>
      <w:r w:rsidRPr="008C1015">
        <w:rPr>
          <w:sz w:val="18"/>
          <w:szCs w:val="18"/>
        </w:rPr>
        <w:t>The Officer-in-charge of the work shall have the right to decide whether any labour employed by the executant is below the age of twelve years &amp; to refuse to allow any labourer whom he decides to be below the age of twelve years to be employed by the executant.</w:t>
      </w:r>
    </w:p>
    <w:p w14:paraId="5A30889E" w14:textId="77777777" w:rsidR="0054496C" w:rsidRPr="008C1015" w:rsidRDefault="0054496C" w:rsidP="0054496C">
      <w:pPr>
        <w:numPr>
          <w:ilvl w:val="0"/>
          <w:numId w:val="1"/>
        </w:numPr>
        <w:rPr>
          <w:sz w:val="18"/>
          <w:szCs w:val="18"/>
        </w:rPr>
      </w:pPr>
      <w:r w:rsidRPr="008C1015">
        <w:rPr>
          <w:sz w:val="18"/>
          <w:szCs w:val="18"/>
        </w:rPr>
        <w:t>The village committee shall be liable to render proper accounts of utilisation money, and food grains failing which criminal liability will attach to him.</w:t>
      </w:r>
    </w:p>
    <w:p w14:paraId="12F5ED71" w14:textId="77777777" w:rsidR="0054496C" w:rsidRPr="0054496C" w:rsidRDefault="00000000" w:rsidP="0054496C">
      <w:r>
        <w:pict w14:anchorId="7206A6AB">
          <v:rect id="_x0000_i1026" style="width:0;height:1.5pt" o:hralign="center" o:hrstd="t" o:hr="t" fillcolor="#a0a0a0" stroked="f"/>
        </w:pict>
      </w:r>
    </w:p>
    <w:p w14:paraId="7FA2CBEF" w14:textId="760812F1" w:rsidR="0054496C" w:rsidRDefault="0054496C" w:rsidP="0054496C">
      <w:pPr>
        <w:rPr>
          <w:b/>
          <w:bCs/>
        </w:rPr>
      </w:pPr>
      <w:r w:rsidRPr="0054496C">
        <w:rPr>
          <w:b/>
          <w:bCs/>
        </w:rPr>
        <w:t>Date:</w:t>
      </w:r>
      <w:r w:rsidRPr="0054496C">
        <w:t xml:space="preserve"> ...................</w:t>
      </w:r>
      <w:r w:rsidR="006771A2">
        <w:tab/>
      </w:r>
      <w:r w:rsidR="006771A2">
        <w:tab/>
      </w:r>
      <w:r w:rsidR="006771A2">
        <w:tab/>
      </w:r>
      <w:r w:rsidR="006771A2">
        <w:tab/>
      </w:r>
      <w:r w:rsidR="006771A2">
        <w:tab/>
      </w:r>
      <w:r w:rsidR="006771A2">
        <w:tab/>
      </w:r>
      <w:r w:rsidR="006771A2" w:rsidRPr="0054496C">
        <w:rPr>
          <w:b/>
          <w:bCs/>
        </w:rPr>
        <w:t>Signature of the executant</w:t>
      </w:r>
    </w:p>
    <w:p w14:paraId="56C3863F" w14:textId="77777777" w:rsidR="008C1015" w:rsidRDefault="006771A2" w:rsidP="008C1015">
      <w:pPr>
        <w:spacing w:line="120" w:lineRule="auto"/>
        <w:rPr>
          <w:b/>
          <w:bCs/>
        </w:rPr>
      </w:pPr>
      <w:r w:rsidRPr="0054496C">
        <w:rPr>
          <w:b/>
          <w:bCs/>
        </w:rPr>
        <w:t>Witness:</w:t>
      </w:r>
      <w:r w:rsidRPr="0054496C">
        <w:br/>
      </w:r>
      <w:r w:rsidR="008C1015">
        <w:rPr>
          <w:b/>
          <w:bCs/>
        </w:rPr>
        <w:t>1.</w:t>
      </w:r>
      <w:r>
        <w:rPr>
          <w:b/>
          <w:bCs/>
        </w:rPr>
        <w:tab/>
      </w:r>
      <w:r>
        <w:rPr>
          <w:b/>
          <w:bCs/>
        </w:rPr>
        <w:tab/>
      </w:r>
      <w:r>
        <w:rPr>
          <w:b/>
          <w:bCs/>
        </w:rPr>
        <w:tab/>
      </w:r>
      <w:r>
        <w:rPr>
          <w:b/>
          <w:bCs/>
        </w:rPr>
        <w:tab/>
      </w:r>
      <w:r>
        <w:rPr>
          <w:b/>
          <w:bCs/>
        </w:rPr>
        <w:tab/>
      </w:r>
      <w:r>
        <w:rPr>
          <w:b/>
          <w:bCs/>
        </w:rPr>
        <w:tab/>
        <w:t xml:space="preserve">  </w:t>
      </w:r>
      <w:r>
        <w:rPr>
          <w:b/>
          <w:bCs/>
        </w:rPr>
        <w:tab/>
        <w:t xml:space="preserve">  </w:t>
      </w:r>
      <w:r w:rsidRPr="0054496C">
        <w:rPr>
          <w:b/>
          <w:bCs/>
        </w:rPr>
        <w:t xml:space="preserve">For the behalf of the G.P. Works </w:t>
      </w:r>
    </w:p>
    <w:p w14:paraId="3E3E0A95" w14:textId="77777777" w:rsidR="008C1015" w:rsidRDefault="008C1015" w:rsidP="008C1015">
      <w:pPr>
        <w:spacing w:line="120" w:lineRule="auto"/>
      </w:pPr>
      <w:r>
        <w:rPr>
          <w:b/>
          <w:bCs/>
        </w:rPr>
        <w:t xml:space="preserve">2.                                                                                                          </w:t>
      </w:r>
      <w:r w:rsidR="006771A2" w:rsidRPr="0054496C">
        <w:rPr>
          <w:b/>
          <w:bCs/>
        </w:rPr>
        <w:t>Committee Residence</w:t>
      </w:r>
      <w:r w:rsidR="0054496C" w:rsidRPr="0054496C">
        <w:br/>
      </w:r>
      <w:r>
        <w:tab/>
      </w:r>
      <w:r>
        <w:tab/>
      </w:r>
      <w:r>
        <w:tab/>
      </w:r>
      <w:r>
        <w:tab/>
      </w:r>
      <w:r>
        <w:tab/>
      </w:r>
      <w:r>
        <w:tab/>
      </w:r>
      <w:r>
        <w:tab/>
      </w:r>
      <w:r>
        <w:tab/>
      </w:r>
    </w:p>
    <w:p w14:paraId="50A57B70" w14:textId="77777777" w:rsidR="008C1015" w:rsidRDefault="008C1015" w:rsidP="008C1015">
      <w:pPr>
        <w:spacing w:line="120" w:lineRule="auto"/>
      </w:pPr>
    </w:p>
    <w:p w14:paraId="20A45793" w14:textId="77777777" w:rsidR="008C1015" w:rsidRDefault="008C1015" w:rsidP="008C1015">
      <w:pPr>
        <w:spacing w:line="120" w:lineRule="auto"/>
      </w:pPr>
    </w:p>
    <w:p w14:paraId="004EC083" w14:textId="77777777" w:rsidR="008C1015" w:rsidRDefault="008C1015" w:rsidP="008C1015">
      <w:pPr>
        <w:spacing w:line="120" w:lineRule="auto"/>
      </w:pPr>
    </w:p>
    <w:p w14:paraId="132340A9" w14:textId="13D62B00" w:rsidR="00687C3C" w:rsidRDefault="008C1015" w:rsidP="008C1015">
      <w:pPr>
        <w:spacing w:line="120" w:lineRule="auto"/>
        <w:ind w:left="5760"/>
      </w:pPr>
      <w:r w:rsidRPr="0054496C">
        <w:rPr>
          <w:i/>
          <w:iCs/>
        </w:rPr>
        <w:t>(Signature &amp; Seal)</w:t>
      </w:r>
      <w:r w:rsidRPr="0054496C">
        <w:br/>
      </w:r>
      <w:r>
        <w:t xml:space="preserve">                                                                                                                         </w:t>
      </w:r>
      <w:r w:rsidRPr="0054496C">
        <w:t>Sarpanch</w:t>
      </w:r>
      <w:r w:rsidRPr="0054496C">
        <w:br/>
      </w:r>
      <w:r>
        <w:rPr>
          <w:b/>
          <w:bCs/>
        </w:rPr>
        <w:t xml:space="preserve">                      </w:t>
      </w:r>
    </w:p>
    <w:sectPr w:rsidR="00687C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15A1" w14:textId="77777777" w:rsidR="007B5242" w:rsidRDefault="007B5242" w:rsidP="00067733">
      <w:pPr>
        <w:spacing w:after="0" w:line="240" w:lineRule="auto"/>
      </w:pPr>
      <w:r>
        <w:separator/>
      </w:r>
    </w:p>
  </w:endnote>
  <w:endnote w:type="continuationSeparator" w:id="0">
    <w:p w14:paraId="71418DE0" w14:textId="77777777" w:rsidR="007B5242" w:rsidRDefault="007B5242" w:rsidP="0006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2722" w14:textId="77777777" w:rsidR="007B5242" w:rsidRDefault="007B5242" w:rsidP="00067733">
      <w:pPr>
        <w:spacing w:after="0" w:line="240" w:lineRule="auto"/>
      </w:pPr>
      <w:r>
        <w:separator/>
      </w:r>
    </w:p>
  </w:footnote>
  <w:footnote w:type="continuationSeparator" w:id="0">
    <w:p w14:paraId="642B099B" w14:textId="77777777" w:rsidR="007B5242" w:rsidRDefault="007B5242" w:rsidP="00067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E838" w14:textId="477E993F" w:rsidR="00067733" w:rsidRPr="00067733" w:rsidRDefault="00067733" w:rsidP="00067733">
    <w:pPr>
      <w:pStyle w:val="Header"/>
      <w:jc w:val="center"/>
      <w:rPr>
        <w:sz w:val="44"/>
        <w:szCs w:val="44"/>
      </w:rPr>
    </w:pPr>
    <w:r w:rsidRPr="00067733">
      <w:rPr>
        <w:b/>
        <w:bCs/>
        <w:sz w:val="44"/>
        <w:szCs w:val="44"/>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B127B"/>
    <w:multiLevelType w:val="multilevel"/>
    <w:tmpl w:val="429CD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43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EE"/>
    <w:rsid w:val="00067733"/>
    <w:rsid w:val="004E3A67"/>
    <w:rsid w:val="004F195F"/>
    <w:rsid w:val="0054496C"/>
    <w:rsid w:val="006771A2"/>
    <w:rsid w:val="00687C3C"/>
    <w:rsid w:val="0072420E"/>
    <w:rsid w:val="00736AEE"/>
    <w:rsid w:val="00775BC2"/>
    <w:rsid w:val="007B5242"/>
    <w:rsid w:val="008C1015"/>
    <w:rsid w:val="00ED303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82EB"/>
  <w15:chartTrackingRefBased/>
  <w15:docId w15:val="{DC6AB8D9-862D-49E0-B147-BAD7DC2E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AEE"/>
    <w:rPr>
      <w:rFonts w:eastAsiaTheme="majorEastAsia" w:cstheme="majorBidi"/>
      <w:color w:val="272727" w:themeColor="text1" w:themeTint="D8"/>
    </w:rPr>
  </w:style>
  <w:style w:type="paragraph" w:styleId="Title">
    <w:name w:val="Title"/>
    <w:basedOn w:val="Normal"/>
    <w:next w:val="Normal"/>
    <w:link w:val="TitleChar"/>
    <w:uiPriority w:val="10"/>
    <w:qFormat/>
    <w:rsid w:val="0073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AEE"/>
    <w:pPr>
      <w:spacing w:before="160"/>
      <w:jc w:val="center"/>
    </w:pPr>
    <w:rPr>
      <w:i/>
      <w:iCs/>
      <w:color w:val="404040" w:themeColor="text1" w:themeTint="BF"/>
    </w:rPr>
  </w:style>
  <w:style w:type="character" w:customStyle="1" w:styleId="QuoteChar">
    <w:name w:val="Quote Char"/>
    <w:basedOn w:val="DefaultParagraphFont"/>
    <w:link w:val="Quote"/>
    <w:uiPriority w:val="29"/>
    <w:rsid w:val="00736AEE"/>
    <w:rPr>
      <w:i/>
      <w:iCs/>
      <w:color w:val="404040" w:themeColor="text1" w:themeTint="BF"/>
    </w:rPr>
  </w:style>
  <w:style w:type="paragraph" w:styleId="ListParagraph">
    <w:name w:val="List Paragraph"/>
    <w:basedOn w:val="Normal"/>
    <w:uiPriority w:val="34"/>
    <w:qFormat/>
    <w:rsid w:val="00736AEE"/>
    <w:pPr>
      <w:ind w:left="720"/>
      <w:contextualSpacing/>
    </w:pPr>
  </w:style>
  <w:style w:type="character" w:styleId="IntenseEmphasis">
    <w:name w:val="Intense Emphasis"/>
    <w:basedOn w:val="DefaultParagraphFont"/>
    <w:uiPriority w:val="21"/>
    <w:qFormat/>
    <w:rsid w:val="00736AEE"/>
    <w:rPr>
      <w:i/>
      <w:iCs/>
      <w:color w:val="2F5496" w:themeColor="accent1" w:themeShade="BF"/>
    </w:rPr>
  </w:style>
  <w:style w:type="paragraph" w:styleId="IntenseQuote">
    <w:name w:val="Intense Quote"/>
    <w:basedOn w:val="Normal"/>
    <w:next w:val="Normal"/>
    <w:link w:val="IntenseQuoteChar"/>
    <w:uiPriority w:val="30"/>
    <w:qFormat/>
    <w:rsid w:val="0073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AEE"/>
    <w:rPr>
      <w:i/>
      <w:iCs/>
      <w:color w:val="2F5496" w:themeColor="accent1" w:themeShade="BF"/>
    </w:rPr>
  </w:style>
  <w:style w:type="character" w:styleId="IntenseReference">
    <w:name w:val="Intense Reference"/>
    <w:basedOn w:val="DefaultParagraphFont"/>
    <w:uiPriority w:val="32"/>
    <w:qFormat/>
    <w:rsid w:val="00736AEE"/>
    <w:rPr>
      <w:b/>
      <w:bCs/>
      <w:smallCaps/>
      <w:color w:val="2F5496" w:themeColor="accent1" w:themeShade="BF"/>
      <w:spacing w:val="5"/>
    </w:rPr>
  </w:style>
  <w:style w:type="paragraph" w:styleId="Header">
    <w:name w:val="header"/>
    <w:basedOn w:val="Normal"/>
    <w:link w:val="HeaderChar"/>
    <w:uiPriority w:val="99"/>
    <w:unhideWhenUsed/>
    <w:rsid w:val="00067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33"/>
  </w:style>
  <w:style w:type="paragraph" w:styleId="Footer">
    <w:name w:val="footer"/>
    <w:basedOn w:val="Normal"/>
    <w:link w:val="FooterChar"/>
    <w:uiPriority w:val="99"/>
    <w:unhideWhenUsed/>
    <w:rsid w:val="00067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33"/>
  </w:style>
  <w:style w:type="table" w:styleId="TableGrid">
    <w:name w:val="Table Grid"/>
    <w:basedOn w:val="TableNormal"/>
    <w:uiPriority w:val="39"/>
    <w:rsid w:val="0006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3239">
      <w:bodyDiv w:val="1"/>
      <w:marLeft w:val="0"/>
      <w:marRight w:val="0"/>
      <w:marTop w:val="0"/>
      <w:marBottom w:val="0"/>
      <w:divBdr>
        <w:top w:val="none" w:sz="0" w:space="0" w:color="auto"/>
        <w:left w:val="none" w:sz="0" w:space="0" w:color="auto"/>
        <w:bottom w:val="none" w:sz="0" w:space="0" w:color="auto"/>
        <w:right w:val="none" w:sz="0" w:space="0" w:color="auto"/>
      </w:divBdr>
      <w:divsChild>
        <w:div w:id="270358634">
          <w:marLeft w:val="0"/>
          <w:marRight w:val="0"/>
          <w:marTop w:val="0"/>
          <w:marBottom w:val="0"/>
          <w:divBdr>
            <w:top w:val="none" w:sz="0" w:space="0" w:color="auto"/>
            <w:left w:val="none" w:sz="0" w:space="0" w:color="auto"/>
            <w:bottom w:val="none" w:sz="0" w:space="0" w:color="auto"/>
            <w:right w:val="none" w:sz="0" w:space="0" w:color="auto"/>
          </w:divBdr>
          <w:divsChild>
            <w:div w:id="15171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2178">
      <w:bodyDiv w:val="1"/>
      <w:marLeft w:val="0"/>
      <w:marRight w:val="0"/>
      <w:marTop w:val="0"/>
      <w:marBottom w:val="0"/>
      <w:divBdr>
        <w:top w:val="none" w:sz="0" w:space="0" w:color="auto"/>
        <w:left w:val="none" w:sz="0" w:space="0" w:color="auto"/>
        <w:bottom w:val="none" w:sz="0" w:space="0" w:color="auto"/>
        <w:right w:val="none" w:sz="0" w:space="0" w:color="auto"/>
      </w:divBdr>
      <w:divsChild>
        <w:div w:id="1952976192">
          <w:marLeft w:val="0"/>
          <w:marRight w:val="0"/>
          <w:marTop w:val="0"/>
          <w:marBottom w:val="0"/>
          <w:divBdr>
            <w:top w:val="none" w:sz="0" w:space="0" w:color="auto"/>
            <w:left w:val="none" w:sz="0" w:space="0" w:color="auto"/>
            <w:bottom w:val="none" w:sz="0" w:space="0" w:color="auto"/>
            <w:right w:val="none" w:sz="0" w:space="0" w:color="auto"/>
          </w:divBdr>
          <w:divsChild>
            <w:div w:id="91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GADIGAN GP</dc:creator>
  <cp:keywords/>
  <dc:description/>
  <cp:lastModifiedBy>GADIGAN GP</cp:lastModifiedBy>
  <cp:revision>4</cp:revision>
  <dcterms:created xsi:type="dcterms:W3CDTF">2025-05-21T03:46:00Z</dcterms:created>
  <dcterms:modified xsi:type="dcterms:W3CDTF">2025-05-21T06:35:00Z</dcterms:modified>
</cp:coreProperties>
</file>